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pStyle w:val="Heading1"/>
        <w:outlineLvl w:val="0"/>
        <w:rPr>
          <w:rFonts w:asciiTheme="minorHAnsi" w:eastAsiaTheme="minorHAnsi" w:hAnsiTheme="minorHAnsi" w:cstheme="minorHAnsi"/>
          <w:color w:val="000000" w:themeColor="text1"/>
        </w:rPr>
        <w:widowControl w:val="1"/>
      </w:pPr>
      <w:r w:rsidR="00000000" w:rsidDel="00000000" w:rsidRPr="00000000">
        <w:drawing>
          <wp:inline xmlns:wp="http://schemas.openxmlformats.org/drawingml/2006/wordprocessingDrawing" distT="0" distR="0" distB="0" distL="0">
            <wp:extent cx="2667000" cy="657225"/>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2667000" cy="657225"/>
                    </a:xfrm>
                    <a:prstGeom prst="rect"/>
                  </pic:spPr>
                </pic:pic>
              </a:graphicData>
            </a:graphic>
          </wp:inline>
        </w:drawing>
      </w:r>
    </w:p>
    <w:p xmlns:w14="http://schemas.microsoft.com/office/word/2010/wordml" w:rsidR="00000000" w:rsidRDefault="00000000" w14:textId="00000000" w:rsidDel="00000000" w:rsidP="00000000" w:rsidRPr="00000000">
      <w:pPr>
        <w:pStyle w:val="Heading1"/>
        <w:outlineLvl w:val="0"/>
        <w:rPr>
          <w:rFonts w:asciiTheme="minorHAnsi" w:eastAsiaTheme="minorHAnsi" w:hAnsiTheme="minorHAnsi" w:cstheme="minorHAnsi"/>
          <w:color w:val="000000" w:themeColor="text1"/>
        </w:rPr>
        <w:widowControl w:val="1"/>
      </w:pPr>
      <w:r w:rsidR="00000000" w:rsidDel="00000000" w:rsidRPr="00000000">
        <w:rPr>
          <w:rFonts w:asciiTheme="minorHAnsi" w:eastAsiaTheme="minorHAnsi" w:hAnsiTheme="minorHAnsi" w:cstheme="minorHAnsi"/>
          <w:color w:val="000000" w:themeColor="text1"/>
        </w:rPr>
        <w:t xml:space="preserve">Police Report</w:t>
      </w:r>
    </w:p>
    <w:p xmlns:w14="http://schemas.microsoft.com/office/word/2010/wordml" w:rsidR="00000000" w:rsidRDefault="00000000" w14:textId="00000000" w:rsidDel="00000000" w:rsidP="00000000" w:rsidRPr="00000000">
      <w:pPr>
        <w:pStyle w:val="Normal"/>
        <w:rPr>
          <w:b w:val="false"/>
          <w:rFonts w:asciiTheme="minorHAnsi" w:eastAsiaTheme="minorHAnsi" w:hAnsiTheme="minorHAnsi" w:cstheme="minorHAnsi"/>
        </w:rPr>
        <w:widowControl w:val="1"/>
      </w:pP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rPr>
        <w:t xml:space="preserve">Just passed the driving test</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 Inexperience can make young drivers more at risk on the roads so how can you keep supporting them to keep safe? One way is through a parent-teen driving agreement which is a document where you set out what behaviours are expected of them and any limitations around access to a vehicle.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Setting guidelines and boundaries like not driving after 8pm at night or only carrying one peer-group passenger can be really effective in helping them build up their driving experience safely. An example parent-teen agreement, and other resources for parents and careers can be found at </w:t>
      </w:r>
      <w:hyperlink xmlns:r="http://schemas.openxmlformats.org/officeDocument/2006/relationships" r:id="rId7">
        <w:r w:rsidR="00000000" w:rsidDel="00000000" w:rsidRPr="00000000">
          <w:rPr>
            <w:rFonts w:asciiTheme="minorHAnsi" w:eastAsiaTheme="minorHAnsi" w:hAnsiTheme="minorHAnsi" w:cstheme="minorHAnsi"/>
            <w:rStyle w:val="Hyperlink"/>
          </w:rPr>
          <w:t xml:space="preserve">https://s-url.co/n2U1AA</w:t>
        </w:r>
      </w:hyperlink>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We work hard to keep our communities' roads safe and will enforce the law where someone is showing signs of dangerous driving behaviour but we always prioritise prevention. We want to support you in keeping your young people safe and reduce the risk for everyone on the roads.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rPr>
        <w:t xml:space="preserve">TELECARE ALARM WATCH OUT</w:t>
      </w:r>
      <w:r w:rsidR="00000000" w:rsidDel="00000000" w:rsidRPr="00000000">
        <w:br w:type="line"/>
      </w:r>
      <w:r w:rsidR="00000000" w:rsidDel="00000000" w:rsidRPr="00000000">
        <w:br w:type="line"/>
      </w:r>
      <w:r w:rsidR="00000000" w:rsidDel="00000000" w:rsidRPr="00000000">
        <w:rPr>
          <w:rFonts w:asciiTheme="minorHAnsi" w:eastAsiaTheme="minorHAnsi" w:hAnsiTheme="minorHAnsi" w:cstheme="minorHAnsi"/>
        </w:rPr>
        <w:t xml:space="preserve">The UK’s digital telephone switchover is well underway, with all devices currently relying on the Public Switched Telephone Network (PSTN), including traditional landlines, required to move to digital services by January 2027.</w:t>
      </w:r>
      <w:r w:rsidR="00000000" w:rsidDel="00000000" w:rsidRPr="00000000">
        <w:br w:type="line"/>
      </w:r>
      <w:r w:rsidR="00000000" w:rsidDel="00000000" w:rsidRPr="00000000">
        <w:br w:type="line"/>
      </w:r>
      <w:r w:rsidR="00000000" w:rsidDel="00000000" w:rsidRPr="00000000">
        <w:rPr>
          <w:rFonts w:asciiTheme="minorHAnsi" w:eastAsiaTheme="minorHAnsi" w:hAnsiTheme="minorHAnsi" w:cstheme="minorHAnsi"/>
        </w:rPr>
        <w:t xml:space="preserve">People who use telecare alarms to summon help during a fall or other emergency must take action if they have not yet responded to the switch, as analogue-based devices may stop working. Those already using digital connections (for example, through a broadband service) should not experience immediate issues, but it is still important to check if unsure.</w:t>
      </w:r>
      <w:r w:rsidR="00000000" w:rsidDel="00000000" w:rsidRPr="00000000">
        <w:br w:type="line"/>
      </w:r>
      <w:r w:rsidR="00000000" w:rsidDel="00000000" w:rsidRPr="00000000">
        <w:br w:type="line"/>
      </w:r>
      <w:r w:rsidR="00000000" w:rsidDel="00000000" w:rsidRPr="00000000">
        <w:rPr>
          <w:rFonts w:asciiTheme="minorHAnsi" w:eastAsiaTheme="minorHAnsi" w:hAnsiTheme="minorHAnsi" w:cstheme="minorHAnsi"/>
        </w:rPr>
        <w:t xml:space="preserve">Landline providers can advise on what is needed. Anyone not yet on a digital line should call the number on their phone bill and inform their provider that they use telecare. Providers can ensure devices remain compatible and offer solutions to maintain functionality during a power cut, as digital landlines will not operate without power.</w:t>
      </w:r>
      <w:r w:rsidR="00000000" w:rsidDel="00000000" w:rsidRPr="00000000">
        <w:br w:type="line"/>
      </w:r>
      <w:r w:rsidR="00000000" w:rsidDel="00000000" w:rsidRPr="00000000">
        <w:br w:type="line"/>
      </w:r>
      <w:r w:rsidR="00000000" w:rsidDel="00000000" w:rsidRPr="00000000">
        <w:rPr>
          <w:rFonts w:asciiTheme="minorHAnsi" w:eastAsiaTheme="minorHAnsi" w:hAnsiTheme="minorHAnsi" w:cstheme="minorHAnsi"/>
        </w:rPr>
        <w:t xml:space="preserve">Further information is available by visiting </w:t>
      </w:r>
      <w:hyperlink xmlns:r="http://schemas.openxmlformats.org/officeDocument/2006/relationships" r:id="rId8">
        <w:r w:rsidR="00000000" w:rsidDel="00000000" w:rsidRPr="00000000">
          <w:rPr>
            <w:rFonts w:asciiTheme="minorHAnsi" w:eastAsiaTheme="minorHAnsi" w:hAnsiTheme="minorHAnsi" w:cstheme="minorHAnsi"/>
            <w:rStyle w:val="Hyperlink"/>
          </w:rPr>
          <w:t xml:space="preserve">Digital Phone Switchover</w:t>
        </w:r>
      </w:hyperlink>
      <w:r w:rsidR="00000000" w:rsidDel="00000000" w:rsidRPr="00000000">
        <w:rPr>
          <w:rFonts w:asciiTheme="minorHAnsi" w:eastAsiaTheme="minorHAnsi" w:hAnsiTheme="minorHAnsi" w:cstheme="minorHAnsi"/>
        </w:rPr>
        <w:t xml:space="preserve">. BT will also be joining SALC’s Clerk and Councillor Calls later this month to answer questions.</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p>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1"/>
      </w:pPr>
    </w:p>
    <w:tbl>
      <w:tblPr>
        <w:tblStyle w:val="9696263"/>
        <w:tblW w:w="8580" w:type="dxa"/>
        <w:jc w:val="center"/>
        <w:tblInd w:w="12" w:type="dxa"/>
        <w:tblLayout w:type="fixed"/>
        <w:tblLook w:val="00000600"/>
      </w:tblPr>
      <w:tblGrid>
        <w:gridCol w:w="8580"/>
      </w:tblGrid>
      <w:tr>
        <w:trPr/>
        <w:tc>
          <w:tcPr>
            <w:tcW w:w="8580" w:type="dxa"/>
            <w:tcBorders>
              <w:top w:val="none" w:color="000000" w:sz="0" w:space="0"/>
              <w:left w:val="none" w:color="000000" w:sz="0" w:space="0"/>
              <w:bottom w:val="none" w:color="000000" w:sz="0" w:space="0"/>
              <w:right w:val="none" w:color="000000" w:sz="0" w:space="0"/>
            </w:tcBorders>
            <w:tcMar>
              <w:top w:w="0" w:type="dxa"/>
              <w:left w:w="0" w:type="dxa"/>
              <w:right w:w="0" w:type="dxa"/>
              <w:bottom w:w="0" w:type="dxa"/>
            </w:tcMar>
            <w:vAlign w:val="center"/>
          </w:tcPr>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rPr>
              <w:t xml:space="preserve">Romance fraud </w:t>
            </w:r>
          </w:p>
        </w:tc>
      </w:tr>
      <w:tr>
        <w:trPr/>
        <w:tc>
          <w:tcPr>
            <w:tcW w:w="8580" w:type="dxa"/>
            <w:tcBorders>
              <w:top w:val="none" w:color="000000" w:sz="0" w:space="0"/>
              <w:left w:val="none" w:color="000000" w:sz="0" w:space="0"/>
              <w:bottom w:val="none" w:color="000000" w:sz="0" w:space="0"/>
              <w:right w:val="none" w:color="000000" w:sz="0" w:space="0"/>
            </w:tcBorders>
            <w:tcMar>
              <w:top w:w="0" w:type="dxa"/>
              <w:left w:w="0" w:type="dxa"/>
              <w:right w:w="0" w:type="dxa"/>
              <w:bottom w:w="0" w:type="dxa"/>
            </w:tcMar>
            <w:vAlign w:val="center"/>
          </w:tcPr>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p>
          <w:tbl>
            <w:tblPr>
              <w:tblStyle w:val="9566122"/>
              <w:tblW w:w="4999.7" w:type="pct"/>
              <w:tblInd w:w="0" w:type="dxa"/>
              <w:tblLayout w:type="fixed"/>
              <w:tblLook w:val="00000600"/>
            </w:tblPr>
            <w:tblGrid>
              <w:gridCol w:w="9028"/>
            </w:tblGrid>
            <w:tr>
              <w:trPr/>
              <w:tc>
                <w:tcPr>
                  <w:tcW w:w="9028" w:type="dxa"/>
                  <w:tcBorders>
                    <w:top w:val="none" w:color="000000" w:sz="0" w:space="0"/>
                    <w:left w:val="none" w:color="000000" w:sz="0" w:space="0"/>
                    <w:bottom w:val="none" w:color="000000" w:sz="0" w:space="0"/>
                    <w:right w:val="none" w:color="000000" w:sz="0" w:space="0"/>
                  </w:tcBorders>
                  <w:tcMar>
                    <w:top w:w="14" w:type="dxa"/>
                    <w:left w:w="14" w:type="dxa"/>
                    <w:right w:w="14" w:type="dxa"/>
                    <w:bottom w:w="14" w:type="dxa"/>
                  </w:tcMar>
                  <w:vAlign w:val="center"/>
                </w:tcPr>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Genuine relationships should bring trust and happiness, not emotional distress or financial loss.</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Romance fraud involves offenders creating a fake, usually online relationship to gain a victim’s trust and manipulate them into sending money. Often perpetrated overseas, these scams begin on dating sites, including Match.com, Tinder, Bumble etc. or increasingly, social media platforms such as Facebook and Instagram. Fraudsters will encourage conversations to move off legitimate platforms and onto private messaging apps like WhatsApp or Telegram.</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They will target people of any age, though the highest financial losses seen across Surrey and Sussex come from victims over 50 years old.</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They will often use a tactic known as ‘love bombing’, making early declarations of love or affection to build an emotional connection. Once trust has been established, the requests for money start to come, for supposed medical emergencies, visa or travel problems, legal issues, or other unexpected situations. In some cases, we’ve even seen claims they have been kidnapped and need a ransom payment. Victims are being asked to send large sums of money by bank transfer, gift vouchers such as Apple, Amazon or Steam cards, or through online money transfer services including Sendwave, TapTapSend and Remitly.</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Recently, in Surrey, a man in his sixties met someone on a dating app and the conversation continued by her request via Telegram. He sent a total of £5000 to the fraudster who was claiming to be his girlfriend, before his bank thankfully intervened.</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rPr>
                    <w:t xml:space="preserve">Celebrity romance fraud</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We believe that Artificial Intelligence is increasingly being used to create convincing fake videos, images and messages, making it harder for victims to recognise that they are communicating with a fraudster rather than the genuine celebrity.</w:t>
                  </w:r>
                </w:p>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In one recent example a lady in her seventies from Surrey, sent £25,000 to fraudsters believing herself to be in a relationship with the actor George Clooney. This convincing fraud caused devastation and heartache for both her and her family.</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i w:val="false"/>
                      <w:strike w:val="false"/>
                      <w:color w:val="000000"/>
                      <w:spacing w:val="0"/>
                      <w:sz w:val="24.0"/>
                      <w:u w:val="none"/>
                      <w:shd w:fill="auto" w:val="clear" w:color="auto"/>
                      <w:vertAlign w:val="baseline"/>
                    </w:rPr>
                    <w:t xml:space="preserve">D.A.T.E.S. rule</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Use D.A.T.E.S. rule to keep yourself and loved ones safe from romance fraudsters:</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67679294"/>
                    </w:numPr>
                    <w:widowControl w:val="1"/>
                  </w:pPr>
                  <w:r w:rsidR="00000000" w:rsidDel="00000000" w:rsidRPr="00000000">
                    <w:rPr>
                      <w:rFonts w:asciiTheme="minorHAnsi" w:eastAsiaTheme="minorHAnsi" w:hAnsiTheme="minorHAnsi" w:cstheme="minorHAnsi"/>
                    </w:rPr>
                    <w:t xml:space="preserve">Don’t rush into online relationships</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67679294"/>
                    </w:numPr>
                    <w:widowControl w:val="1"/>
                  </w:pPr>
                  <w:r w:rsidR="00000000" w:rsidDel="00000000" w:rsidRPr="00000000">
                    <w:rPr>
                      <w:rFonts w:asciiTheme="minorHAnsi" w:eastAsiaTheme="minorHAnsi" w:hAnsiTheme="minorHAnsi" w:cstheme="minorHAnsi"/>
                    </w:rPr>
                    <w:t xml:space="preserve">Analyse profiles for inconsistencies</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67679294"/>
                    </w:numPr>
                    <w:widowControl w:val="1"/>
                  </w:pPr>
                  <w:r w:rsidR="00000000" w:rsidDel="00000000" w:rsidRPr="00000000">
                    <w:rPr>
                      <w:rFonts w:asciiTheme="minorHAnsi" w:eastAsiaTheme="minorHAnsi" w:hAnsiTheme="minorHAnsi" w:cstheme="minorHAnsi"/>
                    </w:rPr>
                    <w:t xml:space="preserve">Talk to trusted friends and family</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67679294"/>
                    </w:numPr>
                    <w:widowControl w:val="1"/>
                  </w:pPr>
                  <w:r w:rsidR="00000000" w:rsidDel="00000000" w:rsidRPr="00000000">
                    <w:rPr>
                      <w:rFonts w:asciiTheme="minorHAnsi" w:eastAsiaTheme="minorHAnsi" w:hAnsiTheme="minorHAnsi" w:cstheme="minorHAnsi"/>
                    </w:rPr>
                    <w:t xml:space="preserve">Evade scammers—never send money or share financial details</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67679294"/>
                    </w:numPr>
                    <w:widowControl w:val="1"/>
                  </w:pPr>
                  <w:r w:rsidR="00000000" w:rsidDel="00000000" w:rsidRPr="00000000">
                    <w:rPr>
                      <w:rFonts w:asciiTheme="minorHAnsi" w:eastAsiaTheme="minorHAnsi" w:hAnsiTheme="minorHAnsi" w:cstheme="minorHAnsi"/>
                    </w:rPr>
                    <w:t xml:space="preserve">Stay on secure dating platforms and their messenger service.</w:t>
                  </w:r>
                </w:p>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1"/>
                  </w:pP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Above all, never send money, share personal documents, or transfer funds to someone you’ve only met online. Stop. Report. Support. If you suspect you or someone you know has been a victim of romance fraud, please call the police on 101.</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rPr>
                    <w:t xml:space="preserve">Sextortion cases continue to rise</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Sextortion is a form of blackmail where a perpetrator threatens to reveal intimate images of the victim online unless they give in to their demands. These demands are typically for money or further images.</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Surrey Police and Sussex Police are seeing an increase in incidents where offenders use social media platforms, including TikTok, to make initial contact with victims. While TikTok is primarily intended for sharing short videos and connecting with others, criminals can misuse features such as direct messaging, comments and live streams to build trust, gather personal information and persuade victims to move conversations onto other private messaging platforms.</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In a recent case reported to Sussex Police, a man in his early twenties became the victim of sextortion. He was contacted through TikTok and exchanged messages for a short period. The conversation initially appeared friendly and harmless. The perpetrator suggested continuing the conversation on Instagram, and the victim shared his profile details. Shortly afterwards, he was encouraged to move the conversation to WhatsApp. From here, he was asked to send intimate photographs, which he did. The scammer then demanded money and threatened to share the images with his friends and family through Instagram if he refused.</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The victim was instructed to make payments by purchasing Amazon and iTunes gift cards and providing the voucher codes. He complied with these requests but further demands for additional vouchers followed. At this point, the victim decided to block the woman and thankfully there has been no further contact since.</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Typical signs of Sextortion attempts may include:</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45187183"/>
                    </w:numPr>
                    <w:widowControl w:val="1"/>
                  </w:pPr>
                  <w:r w:rsidR="00000000" w:rsidDel="00000000" w:rsidRPr="00000000">
                    <w:rPr>
                      <w:rFonts w:asciiTheme="minorHAnsi" w:eastAsiaTheme="minorHAnsi" w:hAnsiTheme="minorHAnsi" w:cstheme="minorHAnsi"/>
                    </w:rPr>
                    <w:t xml:space="preserve">They’re moving too fast.</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45187183"/>
                    </w:numPr>
                    <w:widowControl w:val="1"/>
                  </w:pPr>
                  <w:r w:rsidR="00000000" w:rsidDel="00000000" w:rsidRPr="00000000">
                    <w:rPr>
                      <w:rFonts w:asciiTheme="minorHAnsi" w:eastAsiaTheme="minorHAnsi" w:hAnsiTheme="minorHAnsi" w:cstheme="minorHAnsi"/>
                    </w:rPr>
                    <w:t xml:space="preserve">They try to develop a relationship with you very quickly. Some may even send a sexual / indecent image to you first.</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45187183"/>
                    </w:numPr>
                    <w:widowControl w:val="1"/>
                  </w:pPr>
                  <w:r w:rsidR="00000000" w:rsidDel="00000000" w:rsidRPr="00000000">
                    <w:rPr>
                      <w:rFonts w:asciiTheme="minorHAnsi" w:eastAsiaTheme="minorHAnsi" w:hAnsiTheme="minorHAnsi" w:cstheme="minorHAnsi"/>
                    </w:rPr>
                    <w:t xml:space="preserve">They pressure you to do sexual things you’re not comfortable with.</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45187183"/>
                    </w:numPr>
                    <w:widowControl w:val="1"/>
                  </w:pPr>
                  <w:r w:rsidR="00000000" w:rsidDel="00000000" w:rsidRPr="00000000">
                    <w:rPr>
                      <w:rFonts w:asciiTheme="minorHAnsi" w:eastAsiaTheme="minorHAnsi" w:hAnsiTheme="minorHAnsi" w:cstheme="minorHAnsi"/>
                    </w:rPr>
                    <w:t xml:space="preserve">They might tell you they’ve hacked you or that they have access to your contacts.</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45187183"/>
                    </w:numPr>
                    <w:widowControl w:val="1"/>
                  </w:pPr>
                  <w:r w:rsidR="00000000" w:rsidDel="00000000" w:rsidRPr="00000000">
                    <w:rPr>
                      <w:rFonts w:asciiTheme="minorHAnsi" w:eastAsiaTheme="minorHAnsi" w:hAnsiTheme="minorHAnsi" w:cstheme="minorHAnsi"/>
                    </w:rPr>
                    <w:t xml:space="preserve">Some blackmailers might tell you they’ve got embarrassing images or information about you from your device.</w:t>
                  </w:r>
                </w:p>
                <w:p xmlns:w14="http://schemas.microsoft.com/office/word/2010/wordml" w:rsidR="00000000" w:rsidRDefault="00000000" w14:textId="00000000" w:rsidDel="00000000" w:rsidP="00000000" w:rsidRPr="00000000">
                  <w:pPr>
                    <w:pStyle w:val="ListParagraph"/>
                    <w:spacing w:after="0.0" w:before="0.0"/>
                    <w:rPr>
                      <w:rFonts w:asciiTheme="minorHAnsi" w:eastAsiaTheme="minorHAnsi" w:hAnsiTheme="minorHAnsi" w:cstheme="minorHAnsi"/>
                    </w:rPr>
                    <w:numPr>
                      <w:ilvl w:val="0"/>
                      <w:numId w:val="94261325"/>
                    </w:numPr>
                    <w:widowControl w:val="1"/>
                  </w:pPr>
                  <w:r w:rsidR="00000000" w:rsidDel="00000000" w:rsidRPr="00000000">
                    <w:rPr>
                      <w:rFonts w:asciiTheme="minorHAnsi" w:eastAsiaTheme="minorHAnsi" w:hAnsiTheme="minorHAnsi" w:cstheme="minorHAnsi"/>
                    </w:rPr>
                    <w:t xml:space="preserve">They might threaten to share this information unless money is given to them.</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If this has happened to you, it is not your fault and there is help and support available. Do not panic. Do not pay. Do not talk any further to the criminals.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If you think you are being or have been a victim of Sextortion, call the Police on 101 or 999 in an emergency.</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b w:val="true"/>
                      <w:rFonts w:asciiTheme="minorHAnsi" w:eastAsiaTheme="minorHAnsi" w:hAnsiTheme="minorHAnsi" w:cstheme="minorHAnsi"/>
                    </w:rPr>
                    <w:t xml:space="preserve">Warning Over Scam Dating Websites Charging for Messages</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Surrey Police and Sussex Police have seen an increase in reports recently from individuals who have lost money, sometimes significant amounts, through fraudulent online dating websites, many of which are hosted overseas. A growing concern involves platforms that require users to purchase "credits" or virtual tokens to send and receive messages. Victims report being encouraged to spend increasing amounts of money communicating with individuals who often appear attractive, engaging, and highly responsive.</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In many cases, victims later discover that the profiles they were communicating with may not be genuine. Some sites appear to contain large numbers of fake profiles, automated accounts (bots), or operators whose purpose is to encourage users to continue purchasing credits. Conversations are often designed to keep users engaged while avoiding genuine meetings, video calls, or other forms of verification.</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r w:rsidR="00000000" w:rsidDel="00000000" w:rsidRPr="00000000">
                    <w:rPr>
                      <w:rFonts w:asciiTheme="minorHAnsi" w:eastAsiaTheme="minorHAnsi" w:hAnsiTheme="minorHAnsi" w:cstheme="minorHAnsi"/>
                    </w:rPr>
                    <w:t xml:space="preserve">Online dating can be a positive way to meet new people, however, please remain alert to websites and individuals whose primary aim appears to be generating money through prolonged paid conversations rather than facilitating genuine relationships. Early reporting helps protect both yourself and others from becoming victims of similar scams.</w:t>
                  </w:r>
                </w:p>
              </w:tc>
            </w:tr>
          </w:tbl>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1"/>
            </w:pPr>
          </w:p>
        </w:tc>
      </w:tr>
    </w:tbl>
    <w:p xmlns:w14="http://schemas.microsoft.com/office/word/2010/wordml" w:rsidR="00000000" w:rsidRDefault="00000000" w14:textId="00000000" w:rsidDel="00000000" w:rsidP="00000000" w:rsidRPr="00000000">
      <w:pPr>
        <w:rPr>
          <w:rFonts w:asciiTheme="minorHAnsi" w:eastAsiaTheme="minorHAnsi" w:hAnsiTheme="minorHAnsi" w:cstheme="minorHAnsi"/>
          <w:sz w:val="24.0"/>
        </w:rPr>
        <w:widowControl w:val="1"/>
      </w:pPr>
    </w:p>
    <w:tbl>
      <w:tblPr>
        <w:tblStyle w:val="8552322"/>
        <w:tblW w:w="8580" w:type="dxa"/>
        <w:jc w:val="center"/>
        <w:tblInd w:w="12" w:type="dxa"/>
        <w:tblLayout w:type="fixed"/>
        <w:tblLook w:val="00000600"/>
      </w:tblPr>
      <w:tblGrid>
        <w:gridCol w:w="8580"/>
      </w:tblGrid>
      <w:tr>
        <w:trPr/>
        <w:tc>
          <w:tcPr>
            <w:tcW w:w="8580" w:type="dxa"/>
            <w:tcBorders>
              <w:top w:val="none" w:color="000000" w:sz="0" w:space="0"/>
              <w:left w:val="none" w:color="000000" w:sz="0" w:space="0"/>
              <w:bottom w:val="none" w:color="000000" w:sz="0" w:space="0"/>
              <w:right w:val="none" w:color="000000" w:sz="0" w:space="0"/>
            </w:tcBorders>
            <w:tcMar>
              <w:top w:w="0" w:type="dxa"/>
              <w:left w:w="0" w:type="dxa"/>
              <w:right w:w="0" w:type="dxa"/>
              <w:bottom w:w="0" w:type="dxa"/>
            </w:tcMar>
            <w:vAlign w:val="center"/>
          </w:tcPr>
          <w:p xmlns:w14="http://schemas.microsoft.com/office/word/2010/wordml" w:rsidR="00000000" w:rsidRDefault="00000000" w14:textId="00000000" w:rsidDel="00000000" w:rsidP="00000000" w:rsidRPr="00000000">
            <w:pPr>
              <w:pStyle w:val="Heading2"/>
              <w:spacing w:after="270.0" w:before="270.0"/>
              <w:outlineLvl w:val="1"/>
              <w:rPr>
                <w:rFonts w:asciiTheme="minorHAnsi" w:eastAsiaTheme="minorHAnsi" w:hAnsiTheme="minorHAnsi" w:cstheme="minorHAnsi"/>
                <w:sz w:val="24.0"/>
              </w:rPr>
              <w:widowControl w:val="1"/>
            </w:pPr>
            <w:r w:rsidR="00000000" w:rsidDel="00000000" w:rsidRPr="00000000">
              <w:rPr>
                <w:b w:val="true"/>
                <w:rFonts w:asciiTheme="minorHAnsi" w:eastAsiaTheme="minorHAnsi" w:hAnsiTheme="minorHAnsi" w:cstheme="minorHAnsi"/>
                <w:color w:val="000000"/>
                <w:sz w:val="24.0"/>
                <w:vertAlign w:val="baseline"/>
              </w:rPr>
              <w:t xml:space="preserve">Protecting University Students from Cyber Crime and Fraud</w:t>
            </w:r>
            <w:bookmarkStart w:id="ch3bjejatg4v" w:name="_Tocsy1ju7mrgife"/>
            <w:bookmarkEnd w:id="ch3bjejatg4v"/>
          </w:p>
        </w:tc>
      </w:tr>
      <w:tr>
        <w:trPr/>
        <w:tc>
          <w:tcPr>
            <w:tcW w:w="8580" w:type="dxa"/>
            <w:tcBorders>
              <w:top w:val="none" w:color="000000" w:sz="0" w:space="0"/>
              <w:left w:val="none" w:color="000000" w:sz="0" w:space="0"/>
              <w:bottom w:val="none" w:color="000000" w:sz="0" w:space="0"/>
              <w:right w:val="none" w:color="000000" w:sz="0" w:space="0"/>
            </w:tcBorders>
            <w:tcMar>
              <w:top w:w="0" w:type="dxa"/>
              <w:left w:w="0" w:type="dxa"/>
              <w:right w:w="0" w:type="dxa"/>
              <w:bottom w:w="0" w:type="dxa"/>
            </w:tcMar>
            <w:vAlign w:val="center"/>
          </w:tcPr>
          <w:p xmlns:w14="http://schemas.microsoft.com/office/word/2010/wordml" w:rsidR="00000000" w:rsidRDefault="00000000" w14:textId="00000000" w:rsidDel="00000000" w:rsidP="00000000" w:rsidRPr="00000000">
            <w:pPr>
              <w:rPr>
                <w:rFonts w:asciiTheme="minorHAnsi" w:eastAsiaTheme="minorHAnsi" w:hAnsiTheme="minorHAnsi" w:cstheme="minorHAnsi"/>
                <w:sz w:val="24.0"/>
              </w:rPr>
              <w:widowControl w:val="1"/>
            </w:pPr>
          </w:p>
          <w:tbl>
            <w:tblPr>
              <w:tblStyle w:val="7773269"/>
              <w:tblW w:w="4999.8" w:type="pct"/>
              <w:tblInd w:w="0" w:type="dxa"/>
              <w:tblLayout w:type="fixed"/>
              <w:tblLook w:val="00000600"/>
            </w:tblPr>
            <w:tblGrid>
              <w:gridCol w:w="9028"/>
            </w:tblGrid>
            <w:tr>
              <w:trPr/>
              <w:tc>
                <w:tcPr>
                  <w:tcW w:w="9028" w:type="dxa"/>
                  <w:tcBorders>
                    <w:top w:val="none" w:color="000000" w:sz="0" w:space="0"/>
                    <w:left w:val="none" w:color="000000" w:sz="0" w:space="0"/>
                    <w:bottom w:val="none" w:color="000000" w:sz="0" w:space="0"/>
                    <w:right w:val="none" w:color="000000" w:sz="0" w:space="0"/>
                  </w:tcBorders>
                  <w:tcMar>
                    <w:top w:w="14" w:type="dxa"/>
                    <w:left w:w="14" w:type="dxa"/>
                    <w:right w:w="14" w:type="dxa"/>
                    <w:bottom w:w="14" w:type="dxa"/>
                  </w:tcMar>
                  <w:vAlign w:val="center"/>
                </w:tcPr>
                <w:p xmlns:w14="http://schemas.microsoft.com/office/word/2010/wordml" w:rsidR="00000000" w:rsidRDefault="00000000" w14:textId="00000000" w:rsidDel="00000000" w:rsidP="00000000" w:rsidRPr="00000000">
                  <w:pPr>
                    <w:pStyle w:val="Normal"/>
                    <w:spacing w:after="120.0" w:before="12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4.0"/>
                      <w:vertAlign w:val="baseline"/>
                    </w:rPr>
                    <w:t xml:space="preserve">As thousands of students prepare to start or return to university this autumn, fraudsters and cyber criminals will be looking for opportunities to exploit the excitement and uncertainty that often comes with a new term.</w:t>
                  </w:r>
                </w:p>
                <w:tbl>
                  <w:tblPr>
                    <w:tblStyle w:val="8648995"/>
                    <w:tblW w:w="599" w:type="dxa"/>
                    <w:jc w:val="center"/>
                    <w:tblInd w:w="0" w:type="dxa"/>
                    <w:tblLayout w:type="fixed"/>
                    <w:tblLook w:val="00000600"/>
                  </w:tblPr>
                  <w:tblGrid>
                    <w:gridCol w:w="300"/>
                    <w:gridCol w:w="300"/>
                  </w:tblGrid>
                  <w:tr>
                    <w:trPr/>
                    <w:tc>
                      <w:tcPr>
                        <w:tcW w:w="300" w:type="dxa"/>
                        <w:tcBorders>
                          <w:top w:val="none" w:color="000000" w:sz="0" w:space="0"/>
                          <w:left w:val="none" w:color="000000" w:sz="0" w:space="0"/>
                          <w:bottom w:val="none" w:color="000000" w:sz="0" w:space="0"/>
                          <w:right w:val="none" w:color="000000" w:sz="0" w:space="0"/>
                        </w:tcBorders>
                        <w:tcMar>
                          <w:top w:w="14" w:type="dxa"/>
                          <w:left w:w="14" w:type="dxa"/>
                          <w:right w:w="14" w:type="dxa"/>
                          <w:bottom w:w="14" w:type="dxa"/>
                        </w:tcMar>
                        <w:vAlign w:val="center"/>
                      </w:tcPr>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color w:val="000000"/>
                            <w:sz w:val="24.0"/>
                          </w:rPr>
                          <w:widowControl w:val="1"/>
                        </w:pPr>
                      </w:p>
                    </w:tc>
                    <w:tc>
                      <w:tcPr>
                        <w:tcW w:w="300" w:type="dxa"/>
                        <w:tcBorders>
                          <w:top w:val="none" w:color="000000" w:sz="0" w:space="0"/>
                          <w:left w:val="none" w:color="000000" w:sz="0" w:space="0"/>
                          <w:bottom w:val="none" w:color="000000" w:sz="0" w:space="0"/>
                          <w:right w:val="none" w:color="000000" w:sz="0" w:space="0"/>
                        </w:tcBorders>
                        <w:tcMar>
                          <w:top w:w="14" w:type="dxa"/>
                          <w:left w:w="14" w:type="dxa"/>
                          <w:right w:w="14" w:type="dxa"/>
                          <w:bottom w:w="14" w:type="dxa"/>
                        </w:tcMar>
                        <w:vAlign w:val="center"/>
                      </w:tcPr>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color w:val="000000"/>
                            <w:sz w:val="24.0"/>
                          </w:rPr>
                          <w:widowControl w:val="1"/>
                        </w:pPr>
                      </w:p>
                    </w:tc>
                  </w:tr>
                </w:tbl>
                <w:p xmlns:w14="http://schemas.microsoft.com/office/word/2010/wordml" w:rsidR="00000000" w:rsidRDefault="00000000" w14:textId="00000000" w:rsidDel="00000000" w:rsidP="00000000" w:rsidRPr="00000000">
                  <w:pPr>
                    <w:pStyle w:val="Normal"/>
                    <w:spacing w:after="120.0" w:before="12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4.0"/>
                      <w:vertAlign w:val="baseline"/>
                    </w:rPr>
                    <w:t xml:space="preserve">Moving to a new city, arranging accommodation, managing finances and building new social networks can create opportunities for criminals to target students. Whether you're a student, parent, guardian, friend or family member, understanding the risks can help prevent cyber crime and fraud.</w:t>
                  </w:r>
                </w:p>
                <w:p xmlns:w14="http://schemas.microsoft.com/office/word/2010/wordml" w:rsidR="00000000" w:rsidRDefault="00000000" w14:textId="00000000" w:rsidDel="00000000" w:rsidP="00000000" w:rsidRPr="00000000">
                  <w:pPr>
                    <w:pStyle w:val="Normal"/>
                    <w:spacing w:after="120.0" w:before="12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4.0"/>
                      <w:vertAlign w:val="baseline"/>
                    </w:rPr>
                    <w:t xml:space="preserve">Students are also frequently targeted through phishing emails, text messages and social media messages. These communications may appear to come from trusted organisations such as universities, banks, delivery companies or student finance providers. Their aim is to steal personal information, passwords or banking details.</w:t>
                  </w:r>
                </w:p>
                <w:p xmlns:w14="http://schemas.microsoft.com/office/word/2010/wordml" w:rsidR="00000000" w:rsidRDefault="00000000" w14:textId="00000000" w:rsidDel="00000000" w:rsidP="00000000" w:rsidRPr="00000000">
                  <w:pPr>
                    <w:pStyle w:val="Normal"/>
                    <w:spacing w:after="120.0" w:before="120.0"/>
                    <w:rPr>
                      <w:rFonts w:asciiTheme="minorHAnsi" w:eastAsiaTheme="minorHAnsi" w:hAnsiTheme="minorHAnsi" w:cstheme="minorHAnsi"/>
                      <w:color w:val="000000"/>
                      <w:sz w:val="24.0"/>
                    </w:rPr>
                    <w:widowControl w:val="1"/>
                  </w:pPr>
                  <w:r w:rsidR="00000000" w:rsidDel="00000000" w:rsidRPr="00000000">
                    <w:rPr>
                      <w:b w:val="true"/>
                      <w:rFonts w:asciiTheme="minorHAnsi" w:eastAsiaTheme="minorHAnsi" w:hAnsiTheme="minorHAnsi" w:cstheme="minorHAnsi"/>
                      <w:sz w:val="24.0"/>
                      <w:vertAlign w:val="baseline"/>
                    </w:rPr>
                    <w:t xml:space="preserve">What can you do to protect yourself from cyber crime and fraud? These simple steps can make a big difference:</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numPr>
                      <w:ilvl w:val="0"/>
                      <w:numId w:val="76387064"/>
                    </w:numPr>
                    <w:widowControl w:val="1"/>
                  </w:pPr>
                  <w:r w:rsidR="00000000" w:rsidDel="00000000" w:rsidRPr="00000000">
                    <w:rPr>
                      <w:rFonts w:asciiTheme="minorHAnsi" w:eastAsiaTheme="minorHAnsi" w:hAnsiTheme="minorHAnsi" w:cstheme="minorHAnsi"/>
                      <w:sz w:val="24.0"/>
                      <w:vertAlign w:val="baseline"/>
                    </w:rPr>
                    <w:t xml:space="preserve">Be cautious of unexpected messages asking for personal or financial information.</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numPr>
                      <w:ilvl w:val="0"/>
                      <w:numId w:val="76387064"/>
                    </w:numPr>
                    <w:widowControl w:val="1"/>
                  </w:pPr>
                  <w:r w:rsidR="00000000" w:rsidDel="00000000" w:rsidRPr="00000000">
                    <w:rPr>
                      <w:rFonts w:asciiTheme="minorHAnsi" w:eastAsiaTheme="minorHAnsi" w:hAnsiTheme="minorHAnsi" w:cstheme="minorHAnsi"/>
                      <w:sz w:val="24.0"/>
                      <w:vertAlign w:val="baseline"/>
                    </w:rPr>
                    <w:t xml:space="preserve">Secure your accounts, especially your email and bank account.</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numPr>
                      <w:ilvl w:val="0"/>
                      <w:numId w:val="76387064"/>
                    </w:numPr>
                    <w:widowControl w:val="1"/>
                  </w:pPr>
                  <w:r w:rsidR="00000000" w:rsidDel="00000000" w:rsidRPr="00000000">
                    <w:rPr>
                      <w:rFonts w:asciiTheme="minorHAnsi" w:eastAsiaTheme="minorHAnsi" w:hAnsiTheme="minorHAnsi" w:cstheme="minorHAnsi"/>
                      <w:sz w:val="24.0"/>
                      <w:vertAlign w:val="baseline"/>
                    </w:rPr>
                    <w:t xml:space="preserve">Use passkeys over passwords wherever they are available. Where unavailable, use strong passwords, for example generated by a password manager and enable 2-step Verification (2SV).</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numPr>
                      <w:ilvl w:val="0"/>
                      <w:numId w:val="76387064"/>
                    </w:numPr>
                    <w:widowControl w:val="1"/>
                  </w:pPr>
                  <w:r w:rsidR="00000000" w:rsidDel="00000000" w:rsidRPr="00000000">
                    <w:rPr>
                      <w:rFonts w:asciiTheme="minorHAnsi" w:eastAsiaTheme="minorHAnsi" w:hAnsiTheme="minorHAnsi" w:cstheme="minorHAnsi"/>
                      <w:sz w:val="24.0"/>
                      <w:vertAlign w:val="baseline"/>
                    </w:rPr>
                    <w:t xml:space="preserve"> Keep devices updated with the latest security and software updates.</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numPr>
                      <w:ilvl w:val="0"/>
                      <w:numId w:val="76387064"/>
                    </w:numPr>
                    <w:widowControl w:val="1"/>
                  </w:pPr>
                  <w:r w:rsidR="00000000" w:rsidDel="00000000" w:rsidRPr="00000000">
                    <w:rPr>
                      <w:rFonts w:asciiTheme="minorHAnsi" w:eastAsiaTheme="minorHAnsi" w:hAnsiTheme="minorHAnsi" w:cstheme="minorHAnsi"/>
                      <w:sz w:val="24.0"/>
                      <w:vertAlign w:val="baseline"/>
                    </w:rPr>
                    <w:t xml:space="preserve">Back up your important data and check your account recovery options.</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120.0" w:before="12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4.0"/>
                      <w:vertAlign w:val="baseline"/>
                    </w:rPr>
                    <w:t xml:space="preserve">To support students and their families, Report Fraud has produced a practical guide packed with advice, real-world examples and simple steps that students can take to protect themselves online and offline throughout university life.</w:t>
                  </w:r>
                </w:p>
                <w:p xmlns:w14="http://schemas.microsoft.com/office/word/2010/wordml" w:rsidR="00000000" w:rsidRDefault="00000000" w14:textId="00000000" w:rsidDel="00000000" w:rsidP="00000000" w:rsidRPr="00000000">
                  <w:pPr>
                    <w:pStyle w:val="Normal"/>
                    <w:spacing w:after="120.0" w:before="120.0"/>
                    <w:rPr>
                      <w:rFonts w:asciiTheme="minorHAnsi" w:eastAsiaTheme="minorHAnsi" w:hAnsiTheme="minorHAnsi" w:cstheme="minorHAnsi"/>
                      <w:color w:val="000000"/>
                      <w:sz w:val="24.0"/>
                    </w:rPr>
                    <w:widowControl w:val="1"/>
                  </w:pPr>
                  <w:hyperlink xmlns:r="http://schemas.openxmlformats.org/officeDocument/2006/relationships" r:id="rId9">
                    <w:r w:rsidR="00000000" w:rsidDel="00000000" w:rsidRPr="00000000">
                      <w:rPr>
                        <w:b w:val="true"/>
                        <w:rFonts w:asciiTheme="minorHAnsi" w:eastAsiaTheme="minorHAnsi" w:hAnsiTheme="minorHAnsi" w:cstheme="minorHAnsi"/>
                        <w:sz w:val="24.0"/>
                        <w:vertAlign w:val="baseline"/>
                        <w:rStyle w:val="Hyperlink"/>
                      </w:rPr>
                      <w:t xml:space="preserve">Read the University Students Booklet here.</w:t>
                    </w:r>
                  </w:hyperlink>
                </w:p>
              </w:tc>
            </w:tr>
          </w:tbl>
          <w:p xmlns:w14="http://schemas.microsoft.com/office/word/2010/wordml" w:rsidR="00000000" w:rsidRDefault="00000000" w14:textId="00000000" w:rsidDel="00000000" w:rsidP="00000000" w:rsidRPr="00000000">
            <w:pPr>
              <w:rPr>
                <w:rFonts w:asciiTheme="minorHAnsi" w:eastAsiaTheme="minorHAnsi" w:hAnsiTheme="minorHAnsi" w:cstheme="minorHAnsi"/>
                <w:sz w:val="24.0"/>
              </w:rPr>
              <w:widowControl w:val="1"/>
            </w:pPr>
          </w:p>
        </w:tc>
      </w:tr>
    </w:tbl>
    <w:p xmlns:w14="http://schemas.microsoft.com/office/word/2010/wordml" w:rsidR="00000000" w:rsidRDefault="00000000" w14:textId="00000000" w:rsidDel="00000000" w:rsidP="00000000" w:rsidRPr="00000000">
      <w:pPr>
        <w:rPr>
          <w:rFonts w:asciiTheme="minorHAnsi" w:eastAsiaTheme="minorHAnsi" w:hAnsiTheme="minorHAnsi" w:cstheme="minorHAnsi"/>
          <w:sz w:val="24.0"/>
        </w:rPr>
        <w:widowControl w:val="0"/>
      </w:pPr>
    </w:p>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1"/>
      </w:pPr>
    </w:p>
    <w:tbl>
      <w:tblPr>
        <w:tblStyle w:val="6247284"/>
        <w:tblW w:w="9029" w:type="dxa"/>
        <w:tblInd w:w="0" w:type="dxa"/>
        <w:tblLayout w:type="fixed"/>
        <w:tblLook w:val="00000600"/>
      </w:tblPr>
      <w:tblGrid>
        <w:gridCol w:w="9029"/>
      </w:tblGrid>
      <w:tr>
        <w:trPr>
          <w:trHeight w:val="6480"/>
        </w:trPr>
        <w:tc>
          <w:tcPr>
            <w:tcW w:w="9029" w:type="dxa"/>
            <w:tcBorders>
              <w:top w:val="single" w:color="000000" w:sz="6" w:space="0"/>
              <w:left w:val="single" w:color="000000" w:sz="6" w:space="0"/>
              <w:bottom w:val="single" w:color="000000" w:sz="6" w:space="0"/>
              <w:right w:val="single" w:color="000000" w:sz="6" w:space="0"/>
            </w:tcBorders>
            <w:tcMar>
              <w:top w:w="0" w:type="dxa"/>
              <w:left w:w="0" w:type="dxa"/>
              <w:right w:w="0" w:type="dxa"/>
              <w:bottom w:w="0" w:type="dxa"/>
            </w:tcMar>
            <w:vAlign w:val="top"/>
          </w:tcPr>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b w:val="true"/>
                <w:rFonts w:asciiTheme="minorHAnsi" w:eastAsiaTheme="minorHAnsi" w:hAnsiTheme="minorHAnsi" w:cstheme="minorHAnsi"/>
                <w:sz w:val="22.0"/>
                <w:vertAlign w:val="baseline"/>
              </w:rPr>
              <w:t xml:space="preserve">Sergeant Eddie Adderley provided the following update for MVDC 29th July.</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Positive results have been achieved in tackling shoplifting, with several offenders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identified and arrested, including individuals connected to organised crime.</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Currently working with MVDC’s Joint Enforcement Team (JET) with regard to street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drinkers in Dorking. There is a PSPO (Public Spaces Protection Order) in place that does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not allow drinking in public areas covered by the order and enforcement action can be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taken where appropriate.</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The neighbourhood policing team has achieved positive results through proactive stops of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suspicious vehicles, including on rural routes. These operations have led to the detection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and arrest of individuals involved in drug-related offences and drug dealing.</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Cold water swimming continues to be an area of focus, particularly at Buckland Lakes.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Sergeant Whatham has been working closely with the site owners and Surrey Fire and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Rescue Service to help reduce the associated risks and improve safety measures at the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location.</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Attention remains focused on motorbike noise in the Rykas/Mickleham area, particularly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on Wednesday evenings and at weekends. EA noted that anti-social behaviour linked to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motorbike noise extends beyond Mole Valley and is a broader issue across the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Southeast, with comparable concerns being experienced along several A-roads in </w:t>
            </w:r>
          </w:p>
        </w:tc>
      </w:tr>
    </w:tbl>
    <w:p xmlns:w14="http://schemas.microsoft.com/office/word/2010/wordml" w:rsidR="00000000" w:rsidRDefault="00000000" w14:textId="00000000" w:rsidDel="00000000" w:rsidP="00000000" w:rsidRPr="00000000">
      <w:pPr>
        <w:rPr>
          <w:rFonts w:asciiTheme="minorHAnsi" w:eastAsiaTheme="minorHAnsi" w:hAnsiTheme="minorHAnsi" w:cstheme="minorHAnsi"/>
          <w:color w:val="000000"/>
          <w:sz w:val="24.0"/>
        </w:rPr>
        <w:widowControl w:val="1"/>
      </w:pPr>
      <w:r w:rsidR="00000000" w:rsidDel="00000000" w:rsidRPr="00000000">
        <w:rPr>
          <w:b w:val="false"/>
          <w:rFonts w:asciiTheme="minorHAnsi" w:eastAsiaTheme="minorHAnsi" w:hAnsiTheme="minorHAnsi" w:cstheme="minorHAnsi"/>
          <w:i w:val="false"/>
          <w:strike w:val="false"/>
          <w:color w:val="000000"/>
          <w:spacing w:val="0"/>
          <w:sz w:val="0.0"/>
          <w:u w:val="none"/>
          <w:shd w:fill="F5F5F5" w:val="clear" w:color="auto"/>
          <w:vertAlign w:val="baseline"/>
        </w:rPr>
        <w:t xml:space="preserve"> </w:t>
      </w:r>
    </w:p>
    <w:tbl>
      <w:tblPr>
        <w:tblStyle w:val="7351241"/>
        <w:tblW w:w="8415" w:type="dxa"/>
        <w:tblInd w:w="0" w:type="dxa"/>
        <w:tblLayout w:type="fixed"/>
        <w:tblLook w:val="00000600"/>
      </w:tblPr>
      <w:tblGrid>
        <w:gridCol w:w="8415"/>
      </w:tblGrid>
      <w:tr>
        <w:trPr>
          <w:trHeight w:val="7155"/>
        </w:trPr>
        <w:tc>
          <w:tcPr>
            <w:tcW w:w="8415" w:type="dxa"/>
            <w:tcBorders>
              <w:top w:val="single" w:color="000000" w:sz="6" w:space="0"/>
              <w:left w:val="single" w:color="000000" w:sz="6" w:space="0"/>
              <w:bottom w:val="single" w:color="000000" w:sz="6" w:space="0"/>
              <w:right w:val="single" w:color="000000" w:sz="6" w:space="0"/>
            </w:tcBorders>
            <w:tcMar>
              <w:top w:w="0" w:type="dxa"/>
              <w:left w:w="0" w:type="dxa"/>
              <w:right w:w="0" w:type="dxa"/>
              <w:bottom w:w="0" w:type="dxa"/>
            </w:tcMar>
            <w:vAlign w:val="top"/>
          </w:tcPr>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Sussex.</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EA reported a reduction in burglary offences across the area.</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Demand on the neighbourhood policing team is increasing as resources are being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redeployed to respond to high-priority incidents and reports.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JR raised concerns about anti-social behaviour involving young people riding e-bikes and scooters across Beare Green, including through the football pitch during matches, which is causing significant disturbance to everyone. EA advised that he would pass this information onto Sergeant Whatham.</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EA also reported that several e-bikes have been seized in other areas of the district. In addition, letters are being distributed to parents through local schools advising that if an underage rider is found using an e-bike illegally, the bike will be seized and destroyed. The rider will also be reported for the offence, with any resulting conviction being added to their driving licence when they reach the age of 16.</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Residents are encouraged to report information to the Police. Recent changes to road </w:t>
            </w:r>
          </w:p>
          <w:p xmlns:w14="http://schemas.microsoft.com/office/word/2010/wordml" w:rsidR="00000000" w:rsidRDefault="00000000" w14:textId="00000000" w:rsidDel="00000000" w:rsidP="00000000" w:rsidRPr="00000000">
            <w:pPr>
              <w:pStyle w:val="Normal"/>
              <w:spacing w:after="0.0"/>
              <w:rPr>
                <w:rFonts w:asciiTheme="minorHAnsi" w:eastAsiaTheme="minorHAnsi" w:hAnsiTheme="minorHAnsi" w:cstheme="minorHAnsi"/>
                <w:color w:val="000000"/>
                <w:sz w:val="24.0"/>
              </w:rPr>
              <w:widowControl w:val="1"/>
            </w:pPr>
            <w:r w:rsidR="00000000" w:rsidDel="00000000" w:rsidRPr="00000000">
              <w:rPr>
                <w:rFonts w:asciiTheme="minorHAnsi" w:eastAsiaTheme="minorHAnsi" w:hAnsiTheme="minorHAnsi" w:cstheme="minorHAnsi"/>
                <w:sz w:val="22.0"/>
                <w:vertAlign w:val="baseline"/>
              </w:rPr>
              <w:t xml:space="preserve">traffic legislation mean that officers now have greater powers to deal with anti-social riding and driving, including the ability to seize a vehicle without prior warning where an offence has been committed.</w:t>
            </w:r>
          </w:p>
        </w:tc>
      </w:tr>
    </w:tbl>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1"/>
      </w:pPr>
    </w:p>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0"/>
      </w:pPr>
      <w:r w:rsidR="00000000" w:rsidDel="00000000" w:rsidRPr="00000000">
        <w:rPr>
          <w:b w:val="true"/>
          <w:rFonts w:asciiTheme="minorHAnsi" w:eastAsiaTheme="minorHAnsi" w:hAnsiTheme="minorHAnsi" w:cstheme="minorHAnsi"/>
        </w:rPr>
        <w:t xml:space="preserve">MVDC Update 30th September</w:t>
      </w:r>
    </w:p>
    <w:p xmlns:w14="http://schemas.microsoft.com/office/word/2010/wordml" w:rsidR="00000000" w:rsidRDefault="00000000" w14:textId="00000000" w:rsidDel="00000000" w:rsidP="00000000" w:rsidRPr="00000000">
      <w:pPr>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eBikes - Surrey Police are using CCTV to identify the owners of eBikes to track riders to locations where their face masks are removed.</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Drugs - Multiple arrests were completed in Dorking a couple of weeks ago</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Burglaries - Annually burglaries increase in autumn. Currently thieves are taking metal from allotments, sheds and garages in south Mole Valley.</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Hot spot areas - where an area is highlighted, Police are providing targetting advice and support.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Governance update - Police are undergoing restructuring, focused on the neighbourhood team</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Speeding - a tragic recent RTA accident in Headley has prompted local support from the Police Casualty Reduction Officer alongside Surrey Council for the Headley / Boxhill area.</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A24 - Mickleham currently have local Police and multi-agency support to encourage considerate behaviours from motorbikes. </w:t>
      </w:r>
    </w:p>
    <w:p xmlns:w14="http://schemas.microsoft.com/office/word/2010/wordml" w:rsidR="00000000" w:rsidRDefault="00000000" w14:textId="00000000" w:rsidDel="00000000" w:rsidP="00000000" w:rsidRPr="00000000">
      <w:pPr>
        <w:pStyle w:val="Normal"/>
        <w:rPr>
          <w:rFonts w:asciiTheme="minorHAnsi" w:eastAsiaTheme="minorHAnsi" w:hAnsiTheme="minorHAnsi" w:cstheme="minorHAnsi"/>
        </w:rPr>
        <w:widowControl w:val="0"/>
      </w:pPr>
      <w:r w:rsidR="00000000" w:rsidDel="00000000" w:rsidRPr="00000000">
        <w:rPr>
          <w:rFonts w:asciiTheme="minorHAnsi" w:eastAsiaTheme="minorHAnsi" w:hAnsiTheme="minorHAnsi" w:cstheme="minorHAnsi"/>
        </w:rPr>
        <w:t xml:space="preserve"> </w:t>
      </w:r>
    </w:p>
    <w:sectPr>
      <w:headerReference xmlns:r="http://schemas.openxmlformats.org/officeDocument/2006/relationships" r:id="rId10" w:type="default"/>
      <w:footerReference xmlns:r="http://schemas.openxmlformats.org/officeDocument/2006/relationships" r:id="rId11" w:type="default"/>
      <w:type w:val="nextPage"/>
      <w:pgSz w:w="11908" w:orient="portrait" w:h="16833"/>
      <w:pgMar w:header="708" w:bottom="1440" w:left="1440" w:right="1440" w:top="1440" w:footer="708" w:gutter="0"/>
      <w:cols w:equalWidth="1" w:space="720" w:num="1" w:sep="0"/>
      <w:titlePg w:val="0"/>
    </w:sectPr>
  </w:body>
</w:document>
</file>

<file path=word/fontTable.xml><?xml version="1.0" encoding="utf-8"?>
<w:fonts xmlns:w="http://schemas.openxmlformats.org/wordprocessingml/2006/main"/>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64972699">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80158484">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42551377">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9612122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83558002">
    <w:lvl w:ilvl="0">
      <w:start w:val="1"/>
      <w:numFmt w:val="bullet"/>
      <w:lvlText w:val="●"/>
      <w:lvlJc w:val="left"/>
      <w:pPr>
        <w:widowControl w:val="1"/>
        <w:ind w:left="720" w:hanging="360"/>
      </w:pPr>
      <w:rPr>
        <w:rFonts w:asciiTheme="minorHAnsi" w:eastAsiaTheme="minorHAnsi" w:hAnsiTheme="minorHAnsi" w:cstheme="minorHAnsi"/>
      </w:rPr>
    </w:lvl>
    <w:lvl w:ilvl="1">
      <w:start w:val="1"/>
      <w:numFmt w:val="bullet"/>
      <w:lvlText w:val="○"/>
      <w:lvlJc w:val="left"/>
      <w:pPr>
        <w:widowControl w:val="1"/>
        <w:ind w:left="1440" w:hanging="360"/>
      </w:pPr>
      <w:rPr>
        <w:rFonts w:asciiTheme="minorHAnsi" w:eastAsiaTheme="minorHAnsi" w:hAnsiTheme="minorHAnsi" w:cstheme="minorHAnsi"/>
      </w:rPr>
    </w:lvl>
    <w:lvl w:ilvl="2">
      <w:start w:val="1"/>
      <w:numFmt w:val="bullet"/>
      <w:lvlText w:val="▪"/>
      <w:lvlJc w:val="left"/>
      <w:pPr>
        <w:widowControl w:val="1"/>
        <w:ind w:left="2160" w:hanging="360"/>
      </w:pPr>
      <w:rPr>
        <w:rFonts w:asciiTheme="minorHAnsi" w:eastAsiaTheme="minorHAnsi" w:hAnsiTheme="minorHAnsi" w:cstheme="minorHAnsi"/>
      </w:rPr>
    </w:lvl>
    <w:lvl w:ilvl="3">
      <w:start w:val="1"/>
      <w:numFmt w:val="bullet"/>
      <w:lvlText w:val="●"/>
      <w:lvlJc w:val="left"/>
      <w:pPr>
        <w:widowControl w:val="1"/>
        <w:ind w:left="2880" w:hanging="360"/>
      </w:pPr>
      <w:rPr>
        <w:rFonts w:asciiTheme="minorHAnsi" w:eastAsiaTheme="minorHAnsi" w:hAnsiTheme="minorHAnsi" w:cstheme="minorHAnsi"/>
      </w:rPr>
    </w:lvl>
    <w:lvl w:ilvl="4">
      <w:start w:val="1"/>
      <w:numFmt w:val="bullet"/>
      <w:lvlText w:val="○"/>
      <w:lvlJc w:val="left"/>
      <w:pPr>
        <w:widowControl w:val="1"/>
        <w:ind w:left="3600" w:hanging="360"/>
      </w:pPr>
      <w:rPr>
        <w:rFonts w:asciiTheme="minorHAnsi" w:eastAsiaTheme="minorHAnsi" w:hAnsiTheme="minorHAnsi" w:cstheme="minorHAnsi"/>
      </w:rPr>
    </w:lvl>
    <w:lvl w:ilvl="5">
      <w:start w:val="1"/>
      <w:numFmt w:val="bullet"/>
      <w:lvlText w:val="▪"/>
      <w:lvlJc w:val="left"/>
      <w:pPr>
        <w:widowControl w:val="1"/>
        <w:ind w:left="4320" w:hanging="360"/>
      </w:pPr>
      <w:rPr>
        <w:rFonts w:asciiTheme="minorHAnsi" w:eastAsiaTheme="minorHAnsi" w:hAnsiTheme="minorHAnsi" w:cstheme="minorHAnsi"/>
      </w:rPr>
    </w:lvl>
    <w:lvl w:ilvl="6">
      <w:start w:val="1"/>
      <w:numFmt w:val="bullet"/>
      <w:lvlText w:val="●"/>
      <w:lvlJc w:val="left"/>
      <w:pPr>
        <w:widowControl w:val="1"/>
        <w:ind w:left="5040" w:hanging="360"/>
      </w:pPr>
      <w:rPr>
        <w:rFonts w:asciiTheme="minorHAnsi" w:eastAsiaTheme="minorHAnsi" w:hAnsiTheme="minorHAnsi" w:cstheme="minorHAnsi"/>
      </w:rPr>
    </w:lvl>
    <w:lvl w:ilvl="7">
      <w:start w:val="1"/>
      <w:numFmt w:val="bullet"/>
      <w:lvlText w:val="○"/>
      <w:lvlJc w:val="left"/>
      <w:pPr>
        <w:widowControl w:val="1"/>
        <w:ind w:left="5760" w:hanging="360"/>
      </w:pPr>
      <w:rPr>
        <w:rFonts w:asciiTheme="minorHAnsi" w:eastAsiaTheme="minorHAnsi" w:hAnsiTheme="minorHAnsi" w:cstheme="minorHAnsi"/>
      </w:rPr>
    </w:lvl>
    <w:lvl w:ilvl="8">
      <w:start w:val="1"/>
      <w:numFmt w:val="bullet"/>
      <w:lvlText w:val="▪"/>
      <w:lvlJc w:val="left"/>
      <w:pPr>
        <w:widowControl w:val="1"/>
        <w:ind w:left="6480" w:hanging="360"/>
      </w:pPr>
      <w:rPr>
        <w:rFonts w:asciiTheme="minorHAnsi" w:eastAsiaTheme="minorHAnsi" w:hAnsiTheme="minorHAnsi" w:cstheme="minorHAnsi"/>
      </w:rPr>
    </w:lvl>
  </w:abstractNum>
  <w:abstractNum w:abstractNumId="23315972">
    <w:lvl w:ilvl="0">
      <w:start w:val="1"/>
      <w:numFmt w:val="bullet"/>
      <w:lvlText w:val="●"/>
      <w:lvlJc w:val="left"/>
      <w:pPr>
        <w:widowControl w:val="1"/>
        <w:ind w:left="720" w:hanging="360"/>
      </w:pPr>
      <w:rPr>
        <w:rFonts w:asciiTheme="minorHAnsi" w:eastAsiaTheme="minorHAnsi" w:hAnsiTheme="minorHAnsi" w:cstheme="minorHAnsi"/>
      </w:rPr>
    </w:lvl>
    <w:lvl w:ilvl="1">
      <w:start w:val="1"/>
      <w:numFmt w:val="bullet"/>
      <w:lvlText w:val="○"/>
      <w:lvlJc w:val="left"/>
      <w:pPr>
        <w:widowControl w:val="1"/>
        <w:ind w:left="1440" w:hanging="360"/>
      </w:pPr>
      <w:rPr>
        <w:rFonts w:asciiTheme="minorHAnsi" w:eastAsiaTheme="minorHAnsi" w:hAnsiTheme="minorHAnsi" w:cstheme="minorHAnsi"/>
      </w:rPr>
    </w:lvl>
    <w:lvl w:ilvl="2">
      <w:start w:val="1"/>
      <w:numFmt w:val="bullet"/>
      <w:lvlText w:val="▪"/>
      <w:lvlJc w:val="left"/>
      <w:pPr>
        <w:widowControl w:val="1"/>
        <w:ind w:left="2160" w:hanging="360"/>
      </w:pPr>
      <w:rPr>
        <w:rFonts w:asciiTheme="minorHAnsi" w:eastAsiaTheme="minorHAnsi" w:hAnsiTheme="minorHAnsi" w:cstheme="minorHAnsi"/>
      </w:rPr>
    </w:lvl>
    <w:lvl w:ilvl="3">
      <w:start w:val="1"/>
      <w:numFmt w:val="bullet"/>
      <w:lvlText w:val="●"/>
      <w:lvlJc w:val="left"/>
      <w:pPr>
        <w:widowControl w:val="1"/>
        <w:ind w:left="2880" w:hanging="360"/>
      </w:pPr>
      <w:rPr>
        <w:rFonts w:asciiTheme="minorHAnsi" w:eastAsiaTheme="minorHAnsi" w:hAnsiTheme="minorHAnsi" w:cstheme="minorHAnsi"/>
      </w:rPr>
    </w:lvl>
    <w:lvl w:ilvl="4">
      <w:start w:val="1"/>
      <w:numFmt w:val="bullet"/>
      <w:lvlText w:val="○"/>
      <w:lvlJc w:val="left"/>
      <w:pPr>
        <w:widowControl w:val="1"/>
        <w:ind w:left="3600" w:hanging="360"/>
      </w:pPr>
      <w:rPr>
        <w:rFonts w:asciiTheme="minorHAnsi" w:eastAsiaTheme="minorHAnsi" w:hAnsiTheme="minorHAnsi" w:cstheme="minorHAnsi"/>
      </w:rPr>
    </w:lvl>
    <w:lvl w:ilvl="5">
      <w:start w:val="1"/>
      <w:numFmt w:val="bullet"/>
      <w:lvlText w:val="▪"/>
      <w:lvlJc w:val="left"/>
      <w:pPr>
        <w:widowControl w:val="1"/>
        <w:ind w:left="4320" w:hanging="360"/>
      </w:pPr>
      <w:rPr>
        <w:rFonts w:asciiTheme="minorHAnsi" w:eastAsiaTheme="minorHAnsi" w:hAnsiTheme="minorHAnsi" w:cstheme="minorHAnsi"/>
      </w:rPr>
    </w:lvl>
    <w:lvl w:ilvl="6">
      <w:start w:val="1"/>
      <w:numFmt w:val="bullet"/>
      <w:lvlText w:val="●"/>
      <w:lvlJc w:val="left"/>
      <w:pPr>
        <w:widowControl w:val="1"/>
        <w:ind w:left="5040" w:hanging="360"/>
      </w:pPr>
      <w:rPr>
        <w:rFonts w:asciiTheme="minorHAnsi" w:eastAsiaTheme="minorHAnsi" w:hAnsiTheme="minorHAnsi" w:cstheme="minorHAnsi"/>
      </w:rPr>
    </w:lvl>
    <w:lvl w:ilvl="7">
      <w:start w:val="1"/>
      <w:numFmt w:val="bullet"/>
      <w:lvlText w:val="○"/>
      <w:lvlJc w:val="left"/>
      <w:pPr>
        <w:widowControl w:val="1"/>
        <w:ind w:left="5760" w:hanging="360"/>
      </w:pPr>
      <w:rPr>
        <w:rFonts w:asciiTheme="minorHAnsi" w:eastAsiaTheme="minorHAnsi" w:hAnsiTheme="minorHAnsi" w:cstheme="minorHAnsi"/>
      </w:rPr>
    </w:lvl>
    <w:lvl w:ilvl="8">
      <w:start w:val="1"/>
      <w:numFmt w:val="bullet"/>
      <w:lvlText w:val="▪"/>
      <w:lvlJc w:val="left"/>
      <w:pPr>
        <w:widowControl w:val="1"/>
        <w:ind w:left="6480" w:hanging="360"/>
      </w:pPr>
      <w:rPr>
        <w:rFonts w:asciiTheme="minorHAnsi" w:eastAsiaTheme="minorHAnsi" w:hAnsiTheme="minorHAnsi" w:cstheme="minorHAnsi"/>
      </w:rPr>
    </w:lvl>
  </w:abstractNum>
  <w:abstractNum w:abstractNumId="49211025">
    <w:lvl w:ilvl="0">
      <w:start w:val="1"/>
      <w:numFmt w:val="bullet"/>
      <w:lvlText w:val="●"/>
      <w:lvlJc w:val="left"/>
      <w:pPr>
        <w:widowControl w:val="1"/>
        <w:ind w:left="720" w:hanging="360"/>
      </w:pPr>
      <w:rPr>
        <w:rFonts w:asciiTheme="minorHAnsi" w:eastAsiaTheme="minorHAnsi" w:hAnsiTheme="minorHAnsi" w:cstheme="minorHAnsi"/>
      </w:rPr>
    </w:lvl>
    <w:lvl w:ilvl="1">
      <w:start w:val="1"/>
      <w:numFmt w:val="bullet"/>
      <w:lvlText w:val="○"/>
      <w:lvlJc w:val="left"/>
      <w:pPr>
        <w:widowControl w:val="1"/>
        <w:ind w:left="1440" w:hanging="360"/>
      </w:pPr>
      <w:rPr>
        <w:rFonts w:asciiTheme="minorHAnsi" w:eastAsiaTheme="minorHAnsi" w:hAnsiTheme="minorHAnsi" w:cstheme="minorHAnsi"/>
      </w:rPr>
    </w:lvl>
    <w:lvl w:ilvl="2">
      <w:start w:val="1"/>
      <w:numFmt w:val="bullet"/>
      <w:lvlText w:val="▪"/>
      <w:lvlJc w:val="left"/>
      <w:pPr>
        <w:widowControl w:val="1"/>
        <w:ind w:left="2160" w:hanging="360"/>
      </w:pPr>
      <w:rPr>
        <w:rFonts w:asciiTheme="minorHAnsi" w:eastAsiaTheme="minorHAnsi" w:hAnsiTheme="minorHAnsi" w:cstheme="minorHAnsi"/>
      </w:rPr>
    </w:lvl>
    <w:lvl w:ilvl="3">
      <w:start w:val="1"/>
      <w:numFmt w:val="bullet"/>
      <w:lvlText w:val="●"/>
      <w:lvlJc w:val="left"/>
      <w:pPr>
        <w:widowControl w:val="1"/>
        <w:ind w:left="2880" w:hanging="360"/>
      </w:pPr>
      <w:rPr>
        <w:rFonts w:asciiTheme="minorHAnsi" w:eastAsiaTheme="minorHAnsi" w:hAnsiTheme="minorHAnsi" w:cstheme="minorHAnsi"/>
      </w:rPr>
    </w:lvl>
    <w:lvl w:ilvl="4">
      <w:start w:val="1"/>
      <w:numFmt w:val="bullet"/>
      <w:lvlText w:val="○"/>
      <w:lvlJc w:val="left"/>
      <w:pPr>
        <w:widowControl w:val="1"/>
        <w:ind w:left="3600" w:hanging="360"/>
      </w:pPr>
      <w:rPr>
        <w:rFonts w:asciiTheme="minorHAnsi" w:eastAsiaTheme="minorHAnsi" w:hAnsiTheme="minorHAnsi" w:cstheme="minorHAnsi"/>
      </w:rPr>
    </w:lvl>
    <w:lvl w:ilvl="5">
      <w:start w:val="1"/>
      <w:numFmt w:val="bullet"/>
      <w:lvlText w:val="▪"/>
      <w:lvlJc w:val="left"/>
      <w:pPr>
        <w:widowControl w:val="1"/>
        <w:ind w:left="4320" w:hanging="360"/>
      </w:pPr>
      <w:rPr>
        <w:rFonts w:asciiTheme="minorHAnsi" w:eastAsiaTheme="minorHAnsi" w:hAnsiTheme="minorHAnsi" w:cstheme="minorHAnsi"/>
      </w:rPr>
    </w:lvl>
    <w:lvl w:ilvl="6">
      <w:start w:val="1"/>
      <w:numFmt w:val="bullet"/>
      <w:lvlText w:val="●"/>
      <w:lvlJc w:val="left"/>
      <w:pPr>
        <w:widowControl w:val="1"/>
        <w:ind w:left="5040" w:hanging="360"/>
      </w:pPr>
      <w:rPr>
        <w:rFonts w:asciiTheme="minorHAnsi" w:eastAsiaTheme="minorHAnsi" w:hAnsiTheme="minorHAnsi" w:cstheme="minorHAnsi"/>
      </w:rPr>
    </w:lvl>
    <w:lvl w:ilvl="7">
      <w:start w:val="1"/>
      <w:numFmt w:val="bullet"/>
      <w:lvlText w:val="○"/>
      <w:lvlJc w:val="left"/>
      <w:pPr>
        <w:widowControl w:val="1"/>
        <w:ind w:left="5760" w:hanging="360"/>
      </w:pPr>
      <w:rPr>
        <w:rFonts w:asciiTheme="minorHAnsi" w:eastAsiaTheme="minorHAnsi" w:hAnsiTheme="minorHAnsi" w:cstheme="minorHAnsi"/>
      </w:rPr>
    </w:lvl>
    <w:lvl w:ilvl="8">
      <w:start w:val="1"/>
      <w:numFmt w:val="bullet"/>
      <w:lvlText w:val="▪"/>
      <w:lvlJc w:val="left"/>
      <w:pPr>
        <w:widowControl w:val="1"/>
        <w:ind w:left="6480" w:hanging="360"/>
      </w:pPr>
      <w:rPr>
        <w:rFonts w:asciiTheme="minorHAnsi" w:eastAsiaTheme="minorHAnsi" w:hAnsiTheme="minorHAnsi" w:cstheme="minorHAnsi"/>
      </w:rPr>
    </w:lvl>
  </w:abstractNum>
  <w:abstractNum w:abstractNumId="9135708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66578631">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18478083">
    <w:lvl w:ilvl="0">
      <w:start w:val="1"/>
      <w:numFmt w:val="bullet"/>
      <w:lvlText w:val="●"/>
      <w:lvlJc w:val="left"/>
      <w:pPr>
        <w:widowControl w:val="1"/>
        <w:ind w:left="720" w:hanging="360"/>
      </w:pPr>
      <w:rPr>
        <w:rFonts w:asciiTheme="minorHAnsi" w:eastAsiaTheme="minorHAnsi" w:hAnsiTheme="minorHAnsi" w:cstheme="minorHAnsi"/>
      </w:rPr>
    </w:lvl>
    <w:lvl w:ilvl="1">
      <w:start w:val="1"/>
      <w:numFmt w:val="bullet"/>
      <w:lvlText w:val="○"/>
      <w:lvlJc w:val="left"/>
      <w:pPr>
        <w:widowControl w:val="1"/>
        <w:ind w:left="1440" w:hanging="360"/>
      </w:pPr>
      <w:rPr>
        <w:rFonts w:asciiTheme="minorHAnsi" w:eastAsiaTheme="minorHAnsi" w:hAnsiTheme="minorHAnsi" w:cstheme="minorHAnsi"/>
      </w:rPr>
    </w:lvl>
    <w:lvl w:ilvl="2">
      <w:start w:val="1"/>
      <w:numFmt w:val="bullet"/>
      <w:lvlText w:val="▪"/>
      <w:lvlJc w:val="left"/>
      <w:pPr>
        <w:widowControl w:val="1"/>
        <w:ind w:left="2160" w:hanging="360"/>
      </w:pPr>
      <w:rPr>
        <w:rFonts w:asciiTheme="minorHAnsi" w:eastAsiaTheme="minorHAnsi" w:hAnsiTheme="minorHAnsi" w:cstheme="minorHAnsi"/>
      </w:rPr>
    </w:lvl>
    <w:lvl w:ilvl="3">
      <w:start w:val="1"/>
      <w:numFmt w:val="bullet"/>
      <w:lvlText w:val="●"/>
      <w:lvlJc w:val="left"/>
      <w:pPr>
        <w:widowControl w:val="1"/>
        <w:ind w:left="2880" w:hanging="360"/>
      </w:pPr>
      <w:rPr>
        <w:rFonts w:asciiTheme="minorHAnsi" w:eastAsiaTheme="minorHAnsi" w:hAnsiTheme="minorHAnsi" w:cstheme="minorHAnsi"/>
      </w:rPr>
    </w:lvl>
    <w:lvl w:ilvl="4">
      <w:start w:val="1"/>
      <w:numFmt w:val="bullet"/>
      <w:lvlText w:val="○"/>
      <w:lvlJc w:val="left"/>
      <w:pPr>
        <w:widowControl w:val="1"/>
        <w:ind w:left="3600" w:hanging="360"/>
      </w:pPr>
      <w:rPr>
        <w:rFonts w:asciiTheme="minorHAnsi" w:eastAsiaTheme="minorHAnsi" w:hAnsiTheme="minorHAnsi" w:cstheme="minorHAnsi"/>
      </w:rPr>
    </w:lvl>
    <w:lvl w:ilvl="5">
      <w:start w:val="1"/>
      <w:numFmt w:val="bullet"/>
      <w:lvlText w:val="▪"/>
      <w:lvlJc w:val="left"/>
      <w:pPr>
        <w:widowControl w:val="1"/>
        <w:ind w:left="4320" w:hanging="360"/>
      </w:pPr>
      <w:rPr>
        <w:rFonts w:asciiTheme="minorHAnsi" w:eastAsiaTheme="minorHAnsi" w:hAnsiTheme="minorHAnsi" w:cstheme="minorHAnsi"/>
      </w:rPr>
    </w:lvl>
    <w:lvl w:ilvl="6">
      <w:start w:val="1"/>
      <w:numFmt w:val="bullet"/>
      <w:lvlText w:val="●"/>
      <w:lvlJc w:val="left"/>
      <w:pPr>
        <w:widowControl w:val="1"/>
        <w:ind w:left="5040" w:hanging="360"/>
      </w:pPr>
      <w:rPr>
        <w:rFonts w:asciiTheme="minorHAnsi" w:eastAsiaTheme="minorHAnsi" w:hAnsiTheme="minorHAnsi" w:cstheme="minorHAnsi"/>
      </w:rPr>
    </w:lvl>
    <w:lvl w:ilvl="7">
      <w:start w:val="1"/>
      <w:numFmt w:val="bullet"/>
      <w:lvlText w:val="○"/>
      <w:lvlJc w:val="left"/>
      <w:pPr>
        <w:widowControl w:val="1"/>
        <w:ind w:left="5760" w:hanging="360"/>
      </w:pPr>
      <w:rPr>
        <w:rFonts w:asciiTheme="minorHAnsi" w:eastAsiaTheme="minorHAnsi" w:hAnsiTheme="minorHAnsi" w:cstheme="minorHAnsi"/>
      </w:rPr>
    </w:lvl>
    <w:lvl w:ilvl="8">
      <w:start w:val="1"/>
      <w:numFmt w:val="bullet"/>
      <w:lvlText w:val="▪"/>
      <w:lvlJc w:val="left"/>
      <w:pPr>
        <w:widowControl w:val="1"/>
        <w:ind w:left="6480" w:hanging="360"/>
      </w:pPr>
      <w:rPr>
        <w:rFonts w:asciiTheme="minorHAnsi" w:eastAsiaTheme="minorHAnsi" w:hAnsiTheme="minorHAnsi" w:cstheme="minorHAnsi"/>
      </w:rPr>
    </w:lvl>
  </w:abstractNum>
  <w:num w:numId="68633571">
    <w:abstractNumId w:val="64972699"/>
  </w:num>
  <w:num w:numId="77470640">
    <w:abstractNumId w:val="91357080"/>
  </w:num>
  <w:num w:numId="29547620">
    <w:abstractNumId w:val="66578631"/>
  </w:num>
  <w:num w:numId="67679294">
    <w:abstractNumId w:val="83558002"/>
  </w:num>
  <w:num w:numId="90652339">
    <w:abstractNumId w:val="80158484"/>
  </w:num>
  <w:num w:numId="48620727">
    <w:abstractNumId w:val="42551377"/>
  </w:num>
  <w:num w:numId="76387064">
    <w:abstractNumId w:val="49211025"/>
  </w:num>
  <w:num w:numId="94261325">
    <w:abstractNumId w:val="18478083"/>
  </w:num>
  <w:num w:numId="45187183">
    <w:abstractNumId w:val="23315972"/>
  </w:num>
  <w:num w:numId="31467658">
    <w:abstractNumId w:val="96121220"/>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77.99999237060547" w:lineRule="auto" w:after="160.0"/>
        <w:widowControl w:val="1"/>
      </w:pPr>
    </w:pPrDefault>
  </w:docDefaults>
  <w:style w:type="paragraph" w:default="1" w:styleId="Normal">
    <w:name w:val="Normal"/>
    <w:uiPriority w:val="1"/>
    <w:next w:val="Normal"/>
    <w:pPr>
      <w:spacing w:line="277.99999237060547" w:lineRule="auto" w:after="160.0"/>
      <w:widowControl w:val="1"/>
    </w:pPr>
    <w:rPr>
      <w:rFonts w:ascii="Aptos" w:eastAsia="Aptos" w:hAnsi="Aptos" w:cs="Aptos"/>
      <w:sz w:val="24"/>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F"/>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F"/>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color w:val="156082" w:themeColor="accent1" w:themeShade="BF"/>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i w:val="true"/>
      <w:color w:val="156082" w:themeColor="accent1" w:themeShade="BF"/>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color w:val="156082" w:themeColor="accent1" w:themeShade="BF"/>
    </w:rPr>
    <w:aliases w:val="heading 5"/>
    <w:unhideWhenUsed/>
    <w:qFormat/>
  </w:style>
  <w:style w:type="paragraph" w:styleId="Heading6">
    <w:name w:val="Heading 6"/>
    <w:uiPriority w:val="1"/>
    <w:basedOn w:val="Normal"/>
    <w:next w:val="Normal"/>
    <w:link w:val="Heading6Char"/>
    <w:pPr>
      <w:keepNext w:val="1"/>
      <w:keepLines w:val="1"/>
      <w:spacing w:after="0.0" w:before="40.0"/>
      <w:widowControl w:val="1"/>
    </w:pPr>
    <w:rPr>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after="0.0" w:before="40.0"/>
      <w:widowControl w:val="1"/>
    </w:pPr>
    <w:rPr>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spacing w:after="0.0"/>
      <w:widowControl w:val="1"/>
    </w:pPr>
    <w:rPr>
      <w:i w:val="true"/>
      <w:color w:val="000000" w:themeColor="text1" w:themeTint="D8"/>
    </w:rPr>
    <w:aliases w:val="heading 8"/>
    <w:unhideWhenUsed/>
    <w:qFormat/>
  </w:style>
  <w:style w:type="paragraph" w:styleId="Heading9">
    <w:name w:val="Heading 9"/>
    <w:uiPriority w:val="1"/>
    <w:basedOn w:val="Normal"/>
    <w:next w:val="Normal"/>
    <w:link w:val="Heading9Char"/>
    <w:pPr>
      <w:keepNext w:val="1"/>
      <w:keepLines w:val="1"/>
      <w:spacing w:after="0.0"/>
      <w:widowControl w:val="1"/>
    </w:pPr>
    <w:rPr>
      <w:color w:val="000000" w:themeColor="text1" w:themeTint="D8"/>
    </w:rPr>
    <w:aliases w:val="heading 9"/>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widowControl w:val="1"/>
    </w:pPr>
    <w:rPr>
      <w:color w:val="000000" w:themeColor="text1" w:themeTint="A5"/>
      <w:spacing w:val="0"/>
      <w:sz w:val="28"/>
    </w:rPr>
    <w:aliases w:val="Subtitle"/>
    <w:unhideWhenUsed/>
    <w:qFormat/>
  </w:style>
  <w:style w:type="paragraph" w:styleId="Quote">
    <w:name w:val="Quote"/>
    <w:uiPriority w:val="1"/>
    <w:basedOn w:val="Normal"/>
    <w:next w:val="Normal"/>
    <w:pPr>
      <w:spacing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widowControl w:val="1"/>
    </w:pPr>
    <w:rPr/>
    <w:unhideWhenUsed/>
    <w:qFormat/>
  </w:style>
  <w:style w:type="character" w:styleId="Hyperlink">
    <w:name w:val="Hyperlink"/>
    <w:uiPriority w:val="1"/>
    <w:basedOn w:val="DefaultParagraphFont"/>
    <w:rPr>
      <w:color w:val="467886" w:themeColor="hyperlink"/>
      <w:u w:val="single"/>
    </w:rPr>
    <w:unhideWhenUsed/>
    <w:qFormat/>
  </w:style>
  <w:style w:type="character" w:styleId="Heading4Char">
    <w:name w:val="Heading 4 Char"/>
    <w:uiPriority w:val="1"/>
    <w:basedOn w:val="DefaultParagraphFont"/>
    <w:link w:val="Heading4"/>
    <w:rPr>
      <w:i w:val="true"/>
      <w:color w:val="156082" w:themeColor="accent1" w:themeShade="BF"/>
    </w:rPr>
    <w:aliases w:val="Heading 4 Char"/>
    <w:unhideWhenUsed/>
    <w:qFormat/>
  </w:style>
  <w:style w:type="character" w:styleId="Heading9Char">
    <w:name w:val="Heading 9 Char"/>
    <w:uiPriority w:val="1"/>
    <w:basedOn w:val="DefaultParagraphFont"/>
    <w:link w:val="Heading9"/>
    <w:rPr>
      <w:color w:val="000000" w:themeColor="text1" w:themeTint="D8"/>
    </w:rPr>
    <w:aliases w:val="Heading 9 Char"/>
    <w:unhideWhenUsed/>
    <w:qFormat/>
  </w:style>
  <w:style w:type="character" w:styleId="DefaultParagraphFont">
    <w:name w:val="Default Paragraph Font"/>
    <w:uiPriority w:val="1"/>
    <w:rPr>
      <w:rFonts w:ascii="Aptos" w:eastAsia="Aptos" w:hAnsi="Aptos" w:cs="Aptos"/>
      <w:sz w:val="24"/>
    </w:rPr>
    <w:aliases w:val="Default Paragraph Font"/>
    <w:unhideWhenUsed/>
    <w:qFormat/>
  </w:style>
  <w:style w:type="character" w:styleId="SubtitleChar">
    <w:name w:val="Subtitle Char"/>
    <w:uiPriority w:val="1"/>
    <w:basedOn w:val="DefaultParagraphFont"/>
    <w:link w:val="Subtitle"/>
    <w:rPr>
      <w:color w:val="000000" w:themeColor="text1" w:themeTint="A5"/>
      <w:spacing w:val="0"/>
      <w:sz w:val="28"/>
    </w:rPr>
    <w:aliases w:val="Subtitle Cha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F"/>
      <w:sz w:val="32"/>
    </w:rPr>
    <w:aliases w:val="Heading 2 Char"/>
    <w:unhideWhenUsed/>
    <w:qFormat/>
  </w:style>
  <w:style w:type="character" w:styleId="Heading8Char">
    <w:name w:val="Heading 8 Char"/>
    <w:uiPriority w:val="1"/>
    <w:basedOn w:val="DefaultParagraphFont"/>
    <w:link w:val="Heading8"/>
    <w:rPr>
      <w:i w:val="true"/>
      <w:color w:val="000000" w:themeColor="text1" w:themeTint="D8"/>
    </w:rPr>
    <w:aliases w:val="Heading 8 Char"/>
    <w:unhideWhenUsed/>
    <w:qFormat/>
  </w:style>
  <w:style w:type="character" w:styleId="Heading6Char">
    <w:name w:val="Heading 6 Char"/>
    <w:uiPriority w:val="1"/>
    <w:basedOn w:val="DefaultParagraphFont"/>
    <w:link w:val="Heading6"/>
    <w:rPr>
      <w:i w:val="true"/>
      <w:color w:val="000000" w:themeColor="text1" w:themeTint="A5"/>
    </w:rPr>
    <w:aliases w:val="Heading 6 Cha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F"/>
      <w:sz w:val="40"/>
    </w:rPr>
    <w:aliases w:val="Heading 1 Char"/>
    <w:unhideWhenUsed/>
    <w:qFormat/>
  </w:style>
  <w:style w:type="character" w:styleId="Heading3Char">
    <w:name w:val="Heading 3 Char"/>
    <w:uiPriority w:val="1"/>
    <w:basedOn w:val="DefaultParagraphFont"/>
    <w:link w:val="Heading3"/>
    <w:rPr>
      <w:color w:val="156082" w:themeColor="accent1" w:themeShade="BF"/>
      <w:sz w:val="28"/>
    </w:rPr>
    <w:aliases w:val="Heading 3 Char"/>
    <w:unhideWhenUsed/>
    <w:qFormat/>
  </w:style>
  <w:style w:type="character" w:styleId="Heading5Char">
    <w:name w:val="Heading 5 Char"/>
    <w:uiPriority w:val="1"/>
    <w:basedOn w:val="DefaultParagraphFont"/>
    <w:link w:val="Heading5"/>
    <w:rPr>
      <w:color w:val="156082" w:themeColor="accent1" w:themeShade="BF"/>
    </w:rPr>
    <w:aliases w:val="Heading 5 Char"/>
    <w:unhideWhenUsed/>
    <w:qFormat/>
  </w:style>
  <w:style w:type="character" w:styleId="QuoteChar">
    <w:name w:val="Quote Char"/>
    <w:uiPriority w:val="1"/>
    <w:basedOn w:val="DefaultParagraphFont"/>
    <w:rPr>
      <w:i w:val="true"/>
      <w:color w:val="000000" w:themeColor="text1" w:themeTint="BF"/>
    </w:rPr>
    <w:unhideWhenUsed/>
    <w:qFormat/>
  </w:style>
  <w:style w:type="character" w:styleId="IntenseQuoteChar">
    <w:name w:val="Intense Quote Char"/>
    <w:uiPriority w:val="1"/>
    <w:basedOn w:val="DefaultParagraphFont"/>
    <w:rPr>
      <w:i w:val="true"/>
      <w:color w:val="156082" w:themeColor="accent1" w:themeShade="BF"/>
    </w:rPr>
    <w:unhideWhenUsed/>
    <w:qFormat/>
  </w:style>
  <w:style w:type="table" w:styleId="9566122">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 w:type="table" w:styleId="9696263">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 w:type="table" w:styleId="8648995">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 w:type="table" w:styleId="7773269">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 w:type="table" w:styleId="8552322">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 w:type="table" w:styleId="6247284">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 w:type="table" w:styleId="7351241">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5e42c6ee-cd66-4d98-a21a-e5cfd554bd66.png" Type="http://schemas.openxmlformats.org/officeDocument/2006/relationships/image" /><Relationship Id="rId7" Target="https://s-url.co/n2U1AA" Type="http://schemas.openxmlformats.org/officeDocument/2006/relationships/hyperlink" TargetMode="External" /><Relationship Id="rId8" Target="https://us.list-manage.com/62vOvS6T5eY?e=8ee2f1e4fd&amp;c2id=291d9d8efb7d9af44ca79ad91e2aa278" Type="http://schemas.openxmlformats.org/officeDocument/2006/relationships/hyperlink" TargetMode="External" /><Relationship Id="rId9" Target="https://s-url.co/O5o1AA" Type="http://schemas.openxmlformats.org/officeDocument/2006/relationships/hyperlink" TargetMode="External" /><Relationship Id="rId10" Target="header1.xml" Type="http://schemas.openxmlformats.org/officeDocument/2006/relationships/header" /><Relationship Id="rId11" Target="footer2.xml" Type="http://schemas.openxmlformats.org/officeDocument/2006/relationships/footer"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